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F691" w14:textId="77777777" w:rsidR="00FE067E" w:rsidRPr="00AC1198" w:rsidRDefault="00CD36CF" w:rsidP="00CC1F3B">
      <w:pPr>
        <w:pStyle w:val="TitlePageOrigin"/>
        <w:rPr>
          <w:color w:val="auto"/>
        </w:rPr>
      </w:pPr>
      <w:r w:rsidRPr="00AC1198">
        <w:rPr>
          <w:color w:val="auto"/>
        </w:rPr>
        <w:t>WEST virginia legislature</w:t>
      </w:r>
    </w:p>
    <w:p w14:paraId="2877CE2D" w14:textId="3AB949C0" w:rsidR="00CD36CF" w:rsidRPr="00AC1198" w:rsidRDefault="00CD36CF" w:rsidP="00CC1F3B">
      <w:pPr>
        <w:pStyle w:val="TitlePageSession"/>
        <w:rPr>
          <w:color w:val="auto"/>
        </w:rPr>
      </w:pPr>
      <w:r w:rsidRPr="00AC1198">
        <w:rPr>
          <w:color w:val="auto"/>
        </w:rPr>
        <w:t>20</w:t>
      </w:r>
      <w:r w:rsidR="00CB1ADC" w:rsidRPr="00AC1198">
        <w:rPr>
          <w:color w:val="auto"/>
        </w:rPr>
        <w:t>2</w:t>
      </w:r>
      <w:r w:rsidR="00F61EE5" w:rsidRPr="00AC1198">
        <w:rPr>
          <w:color w:val="auto"/>
        </w:rPr>
        <w:t>2</w:t>
      </w:r>
      <w:r w:rsidRPr="00AC1198">
        <w:rPr>
          <w:color w:val="auto"/>
        </w:rPr>
        <w:t xml:space="preserve"> regular session</w:t>
      </w:r>
    </w:p>
    <w:p w14:paraId="172D625A" w14:textId="095133A5" w:rsidR="00CD36CF" w:rsidRPr="00AC1198" w:rsidRDefault="003F2C00" w:rsidP="00CC1F3B">
      <w:pPr>
        <w:pStyle w:val="TitlePageBillPrefix"/>
        <w:rPr>
          <w:color w:val="auto"/>
        </w:rPr>
      </w:pPr>
      <w:sdt>
        <w:sdtPr>
          <w:rPr>
            <w:color w:val="auto"/>
          </w:rPr>
          <w:tag w:val="IntroDate"/>
          <w:id w:val="-1236936958"/>
          <w:placeholder>
            <w:docPart w:val="C3B307651B904D378A5FF67827E81709"/>
          </w:placeholder>
          <w:text/>
        </w:sdtPr>
        <w:sdtEndPr/>
        <w:sdtContent>
          <w:r w:rsidR="00F61EE5" w:rsidRPr="00AC1198">
            <w:rPr>
              <w:color w:val="auto"/>
            </w:rPr>
            <w:t>Introduced</w:t>
          </w:r>
        </w:sdtContent>
      </w:sdt>
    </w:p>
    <w:p w14:paraId="4322CD8B" w14:textId="7CD5E5E9" w:rsidR="00CD36CF" w:rsidRPr="00AC1198" w:rsidRDefault="003F2C0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92FD4" w:rsidRPr="00AC1198">
            <w:rPr>
              <w:color w:val="auto"/>
            </w:rPr>
            <w:t>Senate</w:t>
          </w:r>
        </w:sdtContent>
      </w:sdt>
      <w:r w:rsidR="00303684" w:rsidRPr="00AC1198">
        <w:rPr>
          <w:color w:val="auto"/>
        </w:rPr>
        <w:t xml:space="preserve"> </w:t>
      </w:r>
      <w:r w:rsidR="00CD36CF" w:rsidRPr="00AC1198">
        <w:rPr>
          <w:color w:val="auto"/>
        </w:rPr>
        <w:t xml:space="preserve">Bill </w:t>
      </w:r>
      <w:sdt>
        <w:sdtPr>
          <w:rPr>
            <w:color w:val="auto"/>
          </w:rPr>
          <w:tag w:val="BNum"/>
          <w:id w:val="1645317809"/>
          <w:lock w:val="sdtLocked"/>
          <w:placeholder>
            <w:docPart w:val="7CD44D7481684EFBB2169CAE07E0AB86"/>
          </w:placeholder>
          <w:text/>
        </w:sdtPr>
        <w:sdtEndPr/>
        <w:sdtContent>
          <w:r w:rsidR="00CD1922">
            <w:rPr>
              <w:color w:val="auto"/>
            </w:rPr>
            <w:t>28</w:t>
          </w:r>
        </w:sdtContent>
      </w:sdt>
    </w:p>
    <w:p w14:paraId="293425D7" w14:textId="04CBD6F7" w:rsidR="00CD36CF" w:rsidRPr="00AC1198" w:rsidRDefault="00CD36CF" w:rsidP="00CC1F3B">
      <w:pPr>
        <w:pStyle w:val="Sponsors"/>
        <w:rPr>
          <w:color w:val="auto"/>
        </w:rPr>
      </w:pPr>
      <w:r w:rsidRPr="00AC1198">
        <w:rPr>
          <w:color w:val="auto"/>
        </w:rPr>
        <w:t xml:space="preserve">By </w:t>
      </w:r>
      <w:sdt>
        <w:sdtPr>
          <w:rPr>
            <w:color w:val="auto"/>
          </w:rPr>
          <w:tag w:val="Sponsors"/>
          <w:id w:val="1589585889"/>
          <w:placeholder>
            <w:docPart w:val="BC6A277E70A54C5D83F0F91084EB54B0"/>
          </w:placeholder>
          <w:text w:multiLine="1"/>
        </w:sdtPr>
        <w:sdtEndPr/>
        <w:sdtContent>
          <w:r w:rsidR="00092FD4" w:rsidRPr="00AC1198">
            <w:rPr>
              <w:color w:val="auto"/>
            </w:rPr>
            <w:t>Senator</w:t>
          </w:r>
          <w:r w:rsidR="00596954">
            <w:rPr>
              <w:color w:val="auto"/>
            </w:rPr>
            <w:t>s</w:t>
          </w:r>
          <w:r w:rsidR="00092FD4" w:rsidRPr="00AC1198">
            <w:rPr>
              <w:color w:val="auto"/>
            </w:rPr>
            <w:t xml:space="preserve"> Trump</w:t>
          </w:r>
          <w:r w:rsidR="003F2C00">
            <w:rPr>
              <w:color w:val="auto"/>
            </w:rPr>
            <w:t>,</w:t>
          </w:r>
          <w:r w:rsidR="00596954">
            <w:rPr>
              <w:color w:val="auto"/>
            </w:rPr>
            <w:t xml:space="preserve"> Roberts</w:t>
          </w:r>
          <w:r w:rsidR="003F2C00">
            <w:rPr>
              <w:color w:val="auto"/>
            </w:rPr>
            <w:t>, and Maroney</w:t>
          </w:r>
        </w:sdtContent>
      </w:sdt>
    </w:p>
    <w:p w14:paraId="01E29DA4" w14:textId="2BE5A316" w:rsidR="00D619F5" w:rsidRPr="00AC1198" w:rsidRDefault="00CD36CF" w:rsidP="00CC1F3B">
      <w:pPr>
        <w:pStyle w:val="References"/>
        <w:rPr>
          <w:color w:val="auto"/>
        </w:rPr>
        <w:sectPr w:rsidR="00D619F5" w:rsidRPr="00AC1198" w:rsidSect="00B844F2">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AC1198">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CD1922" w:rsidRPr="00CD1922">
            <w:rPr>
              <w:rFonts w:cs="Times New Roman"/>
              <w:color w:val="auto"/>
              <w:szCs w:val="24"/>
            </w:rPr>
            <w:t xml:space="preserve">Introduced January 12, 2022; </w:t>
          </w:r>
          <w:r w:rsidR="00CD1922">
            <w:rPr>
              <w:rFonts w:cs="Times New Roman"/>
              <w:color w:val="auto"/>
              <w:szCs w:val="24"/>
            </w:rPr>
            <w:t>r</w:t>
          </w:r>
          <w:r w:rsidR="00CD1922" w:rsidRPr="00CD1922">
            <w:rPr>
              <w:rFonts w:cs="Times New Roman"/>
              <w:color w:val="auto"/>
              <w:szCs w:val="24"/>
            </w:rPr>
            <w:t>eferred</w:t>
          </w:r>
          <w:r w:rsidR="00CD1922" w:rsidRPr="00CD1922">
            <w:rPr>
              <w:rFonts w:cs="Times New Roman"/>
              <w:color w:val="auto"/>
              <w:szCs w:val="24"/>
            </w:rPr>
            <w:br/>
            <w:t>to the Committee on</w:t>
          </w:r>
          <w:r w:rsidR="0076609E">
            <w:rPr>
              <w:rFonts w:cs="Times New Roman"/>
              <w:color w:val="auto"/>
              <w:szCs w:val="24"/>
            </w:rPr>
            <w:t xml:space="preserve"> Finance</w:t>
          </w:r>
        </w:sdtContent>
      </w:sdt>
      <w:r w:rsidR="005D35EC" w:rsidRPr="00AC1198">
        <w:rPr>
          <w:color w:val="auto"/>
        </w:rPr>
        <w:t>]</w:t>
      </w:r>
    </w:p>
    <w:p w14:paraId="1A7BA796" w14:textId="562FAB42" w:rsidR="00303684" w:rsidRPr="00AC1198" w:rsidRDefault="00A37C91" w:rsidP="00863870">
      <w:pPr>
        <w:pStyle w:val="TitleSection"/>
        <w:rPr>
          <w:color w:val="auto"/>
        </w:rPr>
      </w:pPr>
      <w:r w:rsidRPr="00AC1198">
        <w:rPr>
          <w:color w:val="auto"/>
        </w:rPr>
        <w:lastRenderedPageBreak/>
        <w:t xml:space="preserve">A BILL </w:t>
      </w:r>
      <w:r w:rsidR="008B3B4D" w:rsidRPr="00AC1198">
        <w:rPr>
          <w:color w:val="auto"/>
        </w:rPr>
        <w:t>to amend and reenact §</w:t>
      </w:r>
      <w:r w:rsidR="00092FD4" w:rsidRPr="00AC1198">
        <w:rPr>
          <w:color w:val="auto"/>
        </w:rPr>
        <w:t>11-21-71b</w:t>
      </w:r>
      <w:r w:rsidR="008B3B4D" w:rsidRPr="00AC1198">
        <w:rPr>
          <w:color w:val="auto"/>
        </w:rPr>
        <w:t xml:space="preserve"> of the Code of West Virginia, 1931, as amended, relating to </w:t>
      </w:r>
      <w:r w:rsidR="00092FD4" w:rsidRPr="00AC1198">
        <w:rPr>
          <w:color w:val="auto"/>
        </w:rPr>
        <w:t>allowing the Tax Commissioner to process certain early refunds; and providing a certain effective date</w:t>
      </w:r>
      <w:r w:rsidR="008B3B4D" w:rsidRPr="00AC1198">
        <w:rPr>
          <w:color w:val="auto"/>
        </w:rPr>
        <w:t>.</w:t>
      </w:r>
    </w:p>
    <w:p w14:paraId="4FD793E2" w14:textId="3A72D613" w:rsidR="005D35EC" w:rsidRPr="00AC1198" w:rsidRDefault="00303684" w:rsidP="005D35EC">
      <w:pPr>
        <w:pStyle w:val="EnactingClause"/>
        <w:rPr>
          <w:rFonts w:cs="Times New Roman"/>
          <w:b/>
          <w:caps/>
          <w:color w:val="auto"/>
          <w:sz w:val="24"/>
        </w:rPr>
      </w:pPr>
      <w:r w:rsidRPr="00AC1198">
        <w:rPr>
          <w:color w:val="auto"/>
        </w:rPr>
        <w:t>Be it enacted by the Legislature of West Virginia:</w:t>
      </w:r>
      <w:r w:rsidR="005D35EC" w:rsidRPr="00AC1198">
        <w:rPr>
          <w:rFonts w:cs="Times New Roman"/>
          <w:b/>
          <w:caps/>
          <w:color w:val="auto"/>
          <w:sz w:val="24"/>
        </w:rPr>
        <w:t xml:space="preserve"> </w:t>
      </w:r>
    </w:p>
    <w:p w14:paraId="775E4F86" w14:textId="34CE4C29" w:rsidR="007674BC" w:rsidRPr="00AC1198" w:rsidRDefault="00BF5F98" w:rsidP="007674BC">
      <w:pPr>
        <w:suppressLineNumbers/>
        <w:ind w:left="720" w:hanging="720"/>
        <w:jc w:val="both"/>
        <w:outlineLvl w:val="1"/>
        <w:rPr>
          <w:rFonts w:eastAsia="Calibri"/>
          <w:b/>
          <w:color w:val="auto"/>
        </w:rPr>
      </w:pPr>
      <w:r w:rsidRPr="00AC1198">
        <w:rPr>
          <w:rFonts w:eastAsia="Calibri" w:cs="Times New Roman"/>
          <w:b/>
          <w:caps/>
          <w:color w:val="auto"/>
          <w:sz w:val="24"/>
        </w:rPr>
        <w:t xml:space="preserve">ARTICLE </w:t>
      </w:r>
      <w:r w:rsidR="00092FD4" w:rsidRPr="00AC1198">
        <w:rPr>
          <w:rFonts w:eastAsia="Calibri" w:cs="Times New Roman"/>
          <w:b/>
          <w:caps/>
          <w:color w:val="auto"/>
          <w:sz w:val="24"/>
        </w:rPr>
        <w:t>21</w:t>
      </w:r>
      <w:r w:rsidRPr="00AC1198">
        <w:rPr>
          <w:rFonts w:eastAsia="Calibri" w:cs="Times New Roman"/>
          <w:b/>
          <w:caps/>
          <w:color w:val="auto"/>
          <w:sz w:val="24"/>
        </w:rPr>
        <w:t xml:space="preserve">. </w:t>
      </w:r>
      <w:r w:rsidR="00092FD4" w:rsidRPr="00AC1198">
        <w:rPr>
          <w:rFonts w:eastAsia="Calibri" w:cs="Times New Roman"/>
          <w:b/>
          <w:caps/>
          <w:color w:val="auto"/>
          <w:sz w:val="24"/>
        </w:rPr>
        <w:t>personal income tax</w:t>
      </w:r>
      <w:r w:rsidRPr="00AC1198">
        <w:rPr>
          <w:rFonts w:eastAsia="Calibri" w:cs="Times New Roman"/>
          <w:b/>
          <w:caps/>
          <w:color w:val="auto"/>
          <w:sz w:val="24"/>
        </w:rPr>
        <w:t>.</w:t>
      </w:r>
    </w:p>
    <w:p w14:paraId="295D1474" w14:textId="77777777" w:rsidR="00A37C91" w:rsidRPr="00AC1198" w:rsidRDefault="00092FD4" w:rsidP="00A37C91">
      <w:pPr>
        <w:widowControl w:val="0"/>
        <w:suppressLineNumbers/>
        <w:ind w:left="720" w:hanging="720"/>
        <w:jc w:val="both"/>
        <w:outlineLvl w:val="3"/>
        <w:rPr>
          <w:rFonts w:eastAsia="Calibri" w:cs="Times New Roman"/>
          <w:b/>
          <w:color w:val="auto"/>
        </w:rPr>
        <w:sectPr w:rsidR="00A37C91" w:rsidRPr="00AC1198" w:rsidSect="00A37C91">
          <w:footerReference w:type="default" r:id="rId16"/>
          <w:type w:val="continuous"/>
          <w:pgSz w:w="12240" w:h="15840"/>
          <w:pgMar w:top="1440" w:right="1440" w:bottom="1440" w:left="1440" w:header="720" w:footer="720" w:gutter="0"/>
          <w:lnNumType w:countBy="1"/>
          <w:cols w:space="720"/>
          <w:docGrid w:linePitch="360"/>
        </w:sectPr>
      </w:pPr>
      <w:r w:rsidRPr="00AC1198">
        <w:rPr>
          <w:rFonts w:eastAsia="Calibri" w:cs="Times New Roman"/>
          <w:b/>
          <w:color w:val="auto"/>
        </w:rPr>
        <w:t>§11-21-71b. Withholding tax on West Virginia source income of nonresidents.</w:t>
      </w:r>
    </w:p>
    <w:p w14:paraId="623EAB18" w14:textId="000809DC" w:rsidR="00092FD4" w:rsidRPr="00AC1198" w:rsidRDefault="007F2CD0" w:rsidP="00A37C91">
      <w:pPr>
        <w:widowControl w:val="0"/>
        <w:ind w:left="720" w:hanging="720"/>
        <w:jc w:val="both"/>
        <w:outlineLvl w:val="3"/>
        <w:rPr>
          <w:rFonts w:eastAsia="Calibri" w:cs="Times New Roman"/>
          <w:color w:val="auto"/>
        </w:rPr>
      </w:pPr>
      <w:r w:rsidRPr="00AC1198">
        <w:rPr>
          <w:rFonts w:eastAsia="Calibri" w:cs="Times New Roman"/>
          <w:color w:val="auto"/>
        </w:rPr>
        <w:tab/>
        <w:t>(</w:t>
      </w:r>
      <w:r w:rsidR="00092FD4" w:rsidRPr="00AC1198">
        <w:rPr>
          <w:rFonts w:eastAsia="Calibri" w:cs="Times New Roman"/>
          <w:color w:val="auto"/>
        </w:rPr>
        <w:t xml:space="preserve">a) </w:t>
      </w:r>
      <w:r w:rsidRPr="00AC1198">
        <w:rPr>
          <w:rFonts w:eastAsia="Calibri" w:cs="Times New Roman"/>
          <w:color w:val="auto"/>
        </w:rPr>
        <w:t>(</w:t>
      </w:r>
      <w:r w:rsidR="00092FD4" w:rsidRPr="00AC1198">
        <w:rPr>
          <w:rFonts w:eastAsia="Calibri" w:cs="Times New Roman"/>
          <w:color w:val="auto"/>
        </w:rPr>
        <w:t>1) In this section the following words have the meanings indicated.</w:t>
      </w:r>
    </w:p>
    <w:p w14:paraId="193694C9" w14:textId="23269CD3"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2) </w:t>
      </w:r>
      <w:r w:rsidR="007F2CD0" w:rsidRPr="00AC1198">
        <w:rPr>
          <w:rFonts w:eastAsia="Calibri" w:cs="Times New Roman"/>
          <w:color w:val="auto"/>
        </w:rPr>
        <w:t>(</w:t>
      </w:r>
      <w:r w:rsidR="00092FD4" w:rsidRPr="00AC1198">
        <w:rPr>
          <w:rFonts w:eastAsia="Calibri" w:cs="Times New Roman"/>
          <w:color w:val="auto"/>
        </w:rPr>
        <w:t xml:space="preserve">A) Except as provided in paragraph </w:t>
      </w:r>
      <w:r w:rsidRPr="00AC1198">
        <w:rPr>
          <w:rFonts w:eastAsia="Calibri" w:cs="Times New Roman"/>
          <w:color w:val="auto"/>
        </w:rPr>
        <w:t>(</w:t>
      </w:r>
      <w:r w:rsidR="00092FD4" w:rsidRPr="00AC1198">
        <w:rPr>
          <w:rFonts w:eastAsia="Calibri" w:cs="Times New Roman"/>
          <w:color w:val="auto"/>
        </w:rPr>
        <w:t xml:space="preserve">B) of this subdivision, </w:t>
      </w:r>
      <w:r w:rsidRPr="00AC1198">
        <w:rPr>
          <w:rFonts w:eastAsia="Calibri" w:cs="Times New Roman"/>
          <w:color w:val="auto"/>
        </w:rPr>
        <w:t>“</w:t>
      </w:r>
      <w:r w:rsidR="00092FD4" w:rsidRPr="00AC1198">
        <w:rPr>
          <w:rFonts w:eastAsia="Calibri" w:cs="Times New Roman"/>
          <w:color w:val="auto"/>
        </w:rPr>
        <w:t>net proceeds</w:t>
      </w:r>
      <w:r w:rsidRPr="00AC1198">
        <w:rPr>
          <w:rFonts w:eastAsia="Calibri" w:cs="Times New Roman"/>
          <w:color w:val="auto"/>
        </w:rPr>
        <w:t>”</w:t>
      </w:r>
      <w:r w:rsidR="00092FD4" w:rsidRPr="00AC1198">
        <w:rPr>
          <w:rFonts w:eastAsia="Calibri" w:cs="Times New Roman"/>
          <w:color w:val="auto"/>
        </w:rPr>
        <w:t xml:space="preserve"> means the total sales price paid to the transferor less:</w:t>
      </w:r>
    </w:p>
    <w:p w14:paraId="5DF69E10" w14:textId="2FDFB208"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 Debts of the transferor secured by a mortgage or other lien on the property being transferred that are being paid upon the sale or exchange of the property; and</w:t>
      </w:r>
    </w:p>
    <w:p w14:paraId="591AAABF" w14:textId="259E60A8"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ii) Other expenses of the transferor arising out of the sale or exchange of the property and disclosed on a settlement statement prepared in connection with the sale or exchange of the property, not including adjustments in favor of the transferee.</w:t>
      </w:r>
    </w:p>
    <w:p w14:paraId="6F15408B" w14:textId="13A37DFD"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B) </w:t>
      </w:r>
      <w:r w:rsidR="00092FD4" w:rsidRPr="00AC1198">
        <w:rPr>
          <w:rFonts w:eastAsia="Calibri" w:cs="Times New Roman"/>
          <w:color w:val="auto"/>
        </w:rPr>
        <w:sym w:font="Arial" w:char="0022"/>
      </w:r>
      <w:r w:rsidR="00092FD4" w:rsidRPr="00AC1198">
        <w:rPr>
          <w:rFonts w:eastAsia="Calibri" w:cs="Times New Roman"/>
          <w:color w:val="auto"/>
        </w:rPr>
        <w:t>Net proceeds</w:t>
      </w:r>
      <w:r w:rsidR="00092FD4" w:rsidRPr="00AC1198">
        <w:rPr>
          <w:rFonts w:eastAsia="Calibri" w:cs="Times New Roman"/>
          <w:color w:val="auto"/>
        </w:rPr>
        <w:sym w:font="Arial" w:char="0022"/>
      </w:r>
      <w:r w:rsidR="00092FD4" w:rsidRPr="00AC1198">
        <w:rPr>
          <w:rFonts w:eastAsia="Calibri" w:cs="Times New Roman"/>
          <w:color w:val="auto"/>
        </w:rPr>
        <w:t xml:space="preserve"> does not include adjustments in favor of the transferor that are disclosed on a settlement statement prepared in connection with the sale or exchange of the property.</w:t>
      </w:r>
    </w:p>
    <w:p w14:paraId="1D5A0890" w14:textId="41BD28AE"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3) </w:t>
      </w:r>
      <w:r w:rsidR="00092FD4" w:rsidRPr="00AC1198">
        <w:rPr>
          <w:rFonts w:eastAsia="Calibri" w:cs="Times New Roman"/>
          <w:color w:val="auto"/>
        </w:rPr>
        <w:sym w:font="Arial" w:char="0022"/>
      </w:r>
      <w:r w:rsidR="00092FD4" w:rsidRPr="00AC1198">
        <w:rPr>
          <w:rFonts w:eastAsia="Calibri" w:cs="Times New Roman"/>
          <w:color w:val="auto"/>
        </w:rPr>
        <w:t>Nonresident entity</w:t>
      </w:r>
      <w:r w:rsidR="00092FD4" w:rsidRPr="00AC1198">
        <w:rPr>
          <w:rFonts w:eastAsia="Calibri" w:cs="Times New Roman"/>
          <w:color w:val="auto"/>
        </w:rPr>
        <w:sym w:font="Arial" w:char="0022"/>
      </w:r>
      <w:r w:rsidR="00092FD4" w:rsidRPr="00AC1198">
        <w:rPr>
          <w:rFonts w:eastAsia="Calibri" w:cs="Times New Roman"/>
          <w:color w:val="auto"/>
        </w:rPr>
        <w:t xml:space="preserve"> means an entity that:</w:t>
      </w:r>
    </w:p>
    <w:p w14:paraId="22073DBA" w14:textId="5F1C1F49"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A) Is not formed under the laws of the state; and</w:t>
      </w:r>
    </w:p>
    <w:p w14:paraId="0AD7D201" w14:textId="145616F8"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B) Is not qualified by or registered with the Tax Commissioner to do business in the state.</w:t>
      </w:r>
    </w:p>
    <w:p w14:paraId="14A02424" w14:textId="4AB14686"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4) </w:t>
      </w:r>
      <w:r w:rsidR="00092FD4" w:rsidRPr="00AC1198">
        <w:rPr>
          <w:rFonts w:eastAsia="Calibri" w:cs="Times New Roman"/>
          <w:color w:val="auto"/>
        </w:rPr>
        <w:sym w:font="Arial" w:char="0022"/>
      </w:r>
      <w:r w:rsidR="00092FD4" w:rsidRPr="00AC1198">
        <w:rPr>
          <w:rFonts w:eastAsia="Calibri" w:cs="Times New Roman"/>
          <w:color w:val="auto"/>
        </w:rPr>
        <w:t>Resident entity</w:t>
      </w:r>
      <w:r w:rsidR="00092FD4" w:rsidRPr="00AC1198">
        <w:rPr>
          <w:rFonts w:eastAsia="Calibri" w:cs="Times New Roman"/>
          <w:color w:val="auto"/>
        </w:rPr>
        <w:sym w:font="Arial" w:char="0022"/>
      </w:r>
      <w:r w:rsidR="00092FD4" w:rsidRPr="00AC1198">
        <w:rPr>
          <w:rFonts w:eastAsia="Calibri" w:cs="Times New Roman"/>
          <w:color w:val="auto"/>
        </w:rPr>
        <w:t xml:space="preserve"> means an entity that:</w:t>
      </w:r>
    </w:p>
    <w:p w14:paraId="5E974042" w14:textId="377C168A"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A) Is formed under the laws of the state; or</w:t>
      </w:r>
    </w:p>
    <w:p w14:paraId="6B89133E" w14:textId="2A71BC49"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B) Is formed under the laws of another state and is qualified by or registered with the Tax Commissioner to do business in the state.</w:t>
      </w:r>
    </w:p>
    <w:p w14:paraId="04B4279D" w14:textId="01C10714"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5) </w:t>
      </w:r>
      <w:r w:rsidR="00092FD4" w:rsidRPr="00AC1198">
        <w:rPr>
          <w:rFonts w:eastAsia="Calibri" w:cs="Times New Roman"/>
          <w:color w:val="auto"/>
        </w:rPr>
        <w:sym w:font="Arial" w:char="0022"/>
      </w:r>
      <w:r w:rsidR="00092FD4" w:rsidRPr="00AC1198">
        <w:rPr>
          <w:rFonts w:eastAsia="Calibri" w:cs="Times New Roman"/>
          <w:color w:val="auto"/>
        </w:rPr>
        <w:t>Total payment</w:t>
      </w:r>
      <w:r w:rsidR="00092FD4" w:rsidRPr="00AC1198">
        <w:rPr>
          <w:rFonts w:eastAsia="Calibri" w:cs="Times New Roman"/>
          <w:color w:val="auto"/>
        </w:rPr>
        <w:sym w:font="Arial" w:char="0022"/>
      </w:r>
      <w:r w:rsidR="00092FD4" w:rsidRPr="00AC1198">
        <w:rPr>
          <w:rFonts w:eastAsia="Calibri" w:cs="Times New Roman"/>
          <w:color w:val="auto"/>
        </w:rPr>
        <w:t xml:space="preserve"> means the net proceeds of a sale actually paid to a transferor, including the fair market value of any property transferred to the transferor.</w:t>
      </w:r>
    </w:p>
    <w:p w14:paraId="0E606FB4" w14:textId="463F6E4D"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lastRenderedPageBreak/>
        <w:t>(</w:t>
      </w:r>
      <w:r w:rsidR="00092FD4" w:rsidRPr="00AC1198">
        <w:rPr>
          <w:rFonts w:eastAsia="Calibri" w:cs="Times New Roman"/>
          <w:color w:val="auto"/>
        </w:rPr>
        <w:t xml:space="preserve">6) </w:t>
      </w:r>
      <w:r w:rsidR="00092FD4" w:rsidRPr="00AC1198">
        <w:rPr>
          <w:rFonts w:eastAsia="Calibri" w:cs="Times New Roman"/>
          <w:color w:val="auto"/>
        </w:rPr>
        <w:sym w:font="Arial" w:char="0022"/>
      </w:r>
      <w:r w:rsidR="00092FD4" w:rsidRPr="00AC1198">
        <w:rPr>
          <w:rFonts w:eastAsia="Calibri" w:cs="Times New Roman"/>
          <w:color w:val="auto"/>
        </w:rPr>
        <w:t>Transfer pursuant to a deed in lieu of foreclosure</w:t>
      </w:r>
      <w:r w:rsidR="00092FD4" w:rsidRPr="00AC1198">
        <w:rPr>
          <w:rFonts w:eastAsia="Calibri" w:cs="Times New Roman"/>
          <w:color w:val="auto"/>
        </w:rPr>
        <w:sym w:font="Arial" w:char="0022"/>
      </w:r>
      <w:r w:rsidR="00092FD4" w:rsidRPr="00AC1198">
        <w:rPr>
          <w:rFonts w:eastAsia="Calibri" w:cs="Times New Roman"/>
          <w:color w:val="auto"/>
        </w:rPr>
        <w:t xml:space="preserve"> includes:</w:t>
      </w:r>
    </w:p>
    <w:p w14:paraId="24AA12AD" w14:textId="77426D31"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A) A transfer by the owner of the property to:</w:t>
      </w:r>
    </w:p>
    <w:p w14:paraId="2B9B38DC" w14:textId="0279E992"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 With respect to a deed in lieu of foreclosure of a mortgage, the mortgagee, the assignee of the mortgage, or any designee or nominee of the mortgagee or assignee of the mortgage;</w:t>
      </w:r>
    </w:p>
    <w:p w14:paraId="7CE12ABB" w14:textId="3DEFB5C0" w:rsidR="00092FD4" w:rsidRPr="00AC1198" w:rsidRDefault="00590DC9"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ii) With respect to a deed in lieu of foreclosure of a deed of trust, the holder of the debt or other obligation secured by the deed of trust or any designee, nominee, or assignee of the holder of the debt or other obligation secured by the deed of trust;</w:t>
      </w:r>
    </w:p>
    <w:p w14:paraId="65314DD4" w14:textId="132725B6"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iii) With respect to a deed in lieu of foreclosure of any other lien instrument, the holder of the debt or other obligation secured by the lien instrument or any designee, nominee, or assignee of the holder of the debt secured by the lien instrument; and</w:t>
      </w:r>
    </w:p>
    <w:p w14:paraId="2F83AEA2" w14:textId="0207A5E8"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B) A transfer by any of the persons described in subparagraph </w:t>
      </w:r>
      <w:r w:rsidR="00590DC9" w:rsidRPr="00AC1198">
        <w:rPr>
          <w:rFonts w:eastAsia="Calibri" w:cs="Times New Roman"/>
          <w:color w:val="auto"/>
        </w:rPr>
        <w:t>“</w:t>
      </w:r>
      <w:r w:rsidR="00092FD4" w:rsidRPr="00AC1198">
        <w:rPr>
          <w:rFonts w:eastAsia="Calibri" w:cs="Times New Roman"/>
          <w:color w:val="auto"/>
        </w:rPr>
        <w:t>i) of this paragraph to a subsequent purchaser for value.</w:t>
      </w:r>
    </w:p>
    <w:p w14:paraId="69CF56EA" w14:textId="593623DD"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7) </w:t>
      </w:r>
      <w:r w:rsidR="00092FD4" w:rsidRPr="00AC1198">
        <w:rPr>
          <w:rFonts w:eastAsia="Calibri" w:cs="Times New Roman"/>
          <w:color w:val="auto"/>
        </w:rPr>
        <w:sym w:font="Arial" w:char="0022"/>
      </w:r>
      <w:r w:rsidR="00092FD4" w:rsidRPr="00AC1198">
        <w:rPr>
          <w:rFonts w:eastAsia="Calibri" w:cs="Times New Roman"/>
          <w:color w:val="auto"/>
        </w:rPr>
        <w:t>Transfer pursuant to a foreclosure of a mortgage, deed of trust, or other lien instrument</w:t>
      </w:r>
      <w:r w:rsidR="00092FD4" w:rsidRPr="00AC1198">
        <w:rPr>
          <w:rFonts w:eastAsia="Calibri" w:cs="Times New Roman"/>
          <w:color w:val="auto"/>
        </w:rPr>
        <w:sym w:font="Arial" w:char="0022"/>
      </w:r>
      <w:r w:rsidR="00092FD4" w:rsidRPr="00AC1198">
        <w:rPr>
          <w:rFonts w:eastAsia="Calibri" w:cs="Times New Roman"/>
          <w:color w:val="auto"/>
        </w:rPr>
        <w:t xml:space="preserve"> includes:</w:t>
      </w:r>
    </w:p>
    <w:p w14:paraId="52463595" w14:textId="542DE6F4"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A) With respect to the foreclosure of a mortgage:</w:t>
      </w:r>
    </w:p>
    <w:p w14:paraId="6A828884" w14:textId="053B24DE"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 A transfer by the mortgagee, the assignee of the mortgage, the attorney named in the mortgage, or the attorney or trustee conducting a foreclosure sale pursuant to the mortgage to:</w:t>
      </w:r>
    </w:p>
    <w:p w14:paraId="2CBC25AB" w14:textId="5DA9A844"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 The mortgagee or the assignee of the mortgage;</w:t>
      </w:r>
    </w:p>
    <w:p w14:paraId="48FDD24F" w14:textId="0AF2C868"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II) Any designee, nominee, or assignee of the mortgagee or assignee of the mortgage; or</w:t>
      </w:r>
    </w:p>
    <w:p w14:paraId="4C79FB96" w14:textId="64C719A8"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III) Any purchaser, substituted purchaser, or assignee of any purchaser or substituted purchaser of the foreclosed property; and</w:t>
      </w:r>
    </w:p>
    <w:p w14:paraId="7EB58FFE" w14:textId="7B850D02"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ii) A transfer by any of the persons described in subparagraph </w:t>
      </w:r>
      <w:r w:rsidR="00D30486" w:rsidRPr="00AC1198">
        <w:rPr>
          <w:rFonts w:eastAsia="Calibri" w:cs="Times New Roman"/>
          <w:color w:val="auto"/>
        </w:rPr>
        <w:t>(</w:t>
      </w:r>
      <w:r w:rsidR="00092FD4" w:rsidRPr="00AC1198">
        <w:rPr>
          <w:rFonts w:eastAsia="Calibri" w:cs="Times New Roman"/>
          <w:color w:val="auto"/>
        </w:rPr>
        <w:t>i) of this paragraph to a subsequent purchaser for value;</w:t>
      </w:r>
    </w:p>
    <w:p w14:paraId="1661EFB3" w14:textId="2585AAE1"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B) With respect to the foreclosure of a deed of trust:</w:t>
      </w:r>
    </w:p>
    <w:p w14:paraId="46355336" w14:textId="429AB8E8"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i) A transfer by the trustees, successor trustees, substituted trustees under the deed of </w:t>
      </w:r>
      <w:r w:rsidR="00092FD4" w:rsidRPr="00AC1198">
        <w:rPr>
          <w:rFonts w:eastAsia="Calibri" w:cs="Times New Roman"/>
          <w:color w:val="auto"/>
        </w:rPr>
        <w:lastRenderedPageBreak/>
        <w:t>trust, or trustees conducting a foreclosure sale pursuant to the deed of trust to:</w:t>
      </w:r>
    </w:p>
    <w:p w14:paraId="06C60667" w14:textId="09A13A80"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 The holder of the debt or other obligation secured by the deed of trust;</w:t>
      </w:r>
    </w:p>
    <w:p w14:paraId="75F05157" w14:textId="6A9EF938"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II) Any designee, nominee, or assignee of the holder of the debt secured by the deed of trust; or</w:t>
      </w:r>
    </w:p>
    <w:p w14:paraId="1F6D7217" w14:textId="71AFDDD2"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III) Any purchaser, substituted purchaser, or assignee of any purchaser or substituted purchaser of the foreclosed property; and</w:t>
      </w:r>
    </w:p>
    <w:p w14:paraId="44BE9D05" w14:textId="16F1D528"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ii) A transfer by any of the persons described in subparagraph </w:t>
      </w:r>
      <w:r w:rsidRPr="00AC1198">
        <w:rPr>
          <w:rFonts w:eastAsia="Calibri" w:cs="Times New Roman"/>
          <w:color w:val="auto"/>
        </w:rPr>
        <w:t>(</w:t>
      </w:r>
      <w:r w:rsidR="00092FD4" w:rsidRPr="00AC1198">
        <w:rPr>
          <w:rFonts w:eastAsia="Calibri" w:cs="Times New Roman"/>
          <w:color w:val="auto"/>
        </w:rPr>
        <w:t>i) of this paragraph to a subsequent purchaser for value; and</w:t>
      </w:r>
    </w:p>
    <w:p w14:paraId="5F9A994A" w14:textId="56DB3AB3"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C) With respect to the foreclosure of any other lien instrument:</w:t>
      </w:r>
    </w:p>
    <w:p w14:paraId="48F788DE" w14:textId="578E8691"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 A transfer by the party authorized to make the sale to:</w:t>
      </w:r>
    </w:p>
    <w:p w14:paraId="5B4A9672" w14:textId="76F8BCB3"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 The holder of the debt or other obligation secured by the lien instrument;</w:t>
      </w:r>
    </w:p>
    <w:p w14:paraId="577A7F89" w14:textId="79A9FE03"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II) Any designee, nominee, or assignee of the holder of the debt secured by the lien instrument; or</w:t>
      </w:r>
    </w:p>
    <w:p w14:paraId="117B88BC" w14:textId="4918D21F"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III) Any purchaser, substituted purchaser, or assignee of any purchaser or substituted purchaser of the foreclosed property; and</w:t>
      </w:r>
    </w:p>
    <w:p w14:paraId="4B393F3B" w14:textId="4F91CDEF"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ii) A transfer by any of the persons described in subparagraph </w:t>
      </w:r>
      <w:r w:rsidRPr="00AC1198">
        <w:rPr>
          <w:rFonts w:eastAsia="Calibri" w:cs="Times New Roman"/>
          <w:color w:val="auto"/>
        </w:rPr>
        <w:t>(</w:t>
      </w:r>
      <w:r w:rsidR="00092FD4" w:rsidRPr="00AC1198">
        <w:rPr>
          <w:rFonts w:eastAsia="Calibri" w:cs="Times New Roman"/>
          <w:color w:val="auto"/>
        </w:rPr>
        <w:t>i) of this paragraph to a subsequent purchaser for value.</w:t>
      </w:r>
    </w:p>
    <w:p w14:paraId="6E3B9758" w14:textId="45AD4AAA"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b) </w:t>
      </w:r>
      <w:r w:rsidRPr="00AC1198">
        <w:rPr>
          <w:rFonts w:eastAsia="Calibri" w:cs="Times New Roman"/>
          <w:color w:val="auto"/>
        </w:rPr>
        <w:t>(</w:t>
      </w:r>
      <w:r w:rsidR="00092FD4" w:rsidRPr="00AC1198">
        <w:rPr>
          <w:rFonts w:eastAsia="Calibri" w:cs="Times New Roman"/>
          <w:color w:val="auto"/>
        </w:rPr>
        <w:t xml:space="preserve">1) For every deed or other instrument of writing that effects a change of ownership on the land books of a county assessor and for which an amount is required to be withheld under subsection </w:t>
      </w:r>
      <w:r w:rsidR="00D30486" w:rsidRPr="00AC1198">
        <w:rPr>
          <w:rFonts w:eastAsia="Calibri" w:cs="Times New Roman"/>
          <w:color w:val="auto"/>
        </w:rPr>
        <w:t>(</w:t>
      </w:r>
      <w:r w:rsidR="00092FD4" w:rsidRPr="00AC1198">
        <w:rPr>
          <w:rFonts w:eastAsia="Calibri" w:cs="Times New Roman"/>
          <w:color w:val="auto"/>
        </w:rPr>
        <w:t>c) of this section, the total payment shall be described on the form prescribed by the Tax Commissioner.</w:t>
      </w:r>
    </w:p>
    <w:p w14:paraId="7F29EDCC" w14:textId="4274E459"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2) The form required under subdivision </w:t>
      </w:r>
      <w:r w:rsidRPr="00AC1198">
        <w:rPr>
          <w:rFonts w:eastAsia="Calibri" w:cs="Times New Roman"/>
          <w:color w:val="auto"/>
        </w:rPr>
        <w:t>(</w:t>
      </w:r>
      <w:r w:rsidR="00092FD4" w:rsidRPr="00AC1198">
        <w:rPr>
          <w:rFonts w:eastAsia="Calibri" w:cs="Times New Roman"/>
          <w:color w:val="auto"/>
        </w:rPr>
        <w:t>1) of this subsection shall be signed under oath by:</w:t>
      </w:r>
    </w:p>
    <w:p w14:paraId="06949B6E" w14:textId="3099002A"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 The transferor of the property;</w:t>
      </w:r>
    </w:p>
    <w:p w14:paraId="0E1B893B" w14:textId="25A1CEFD"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ii) An agent of the transferor; or</w:t>
      </w:r>
    </w:p>
    <w:p w14:paraId="516C4DBC" w14:textId="009C1369"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iii) The real estate reporting person, as defined under Section 6045 of the Internal </w:t>
      </w:r>
      <w:r w:rsidR="00092FD4" w:rsidRPr="00AC1198">
        <w:rPr>
          <w:rFonts w:eastAsia="Calibri" w:cs="Times New Roman"/>
          <w:color w:val="auto"/>
        </w:rPr>
        <w:lastRenderedPageBreak/>
        <w:t>Revenue Code.</w:t>
      </w:r>
    </w:p>
    <w:p w14:paraId="42EF1311" w14:textId="053ACBC4"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c) </w:t>
      </w:r>
      <w:r w:rsidRPr="00AC1198">
        <w:rPr>
          <w:rFonts w:eastAsia="Calibri" w:cs="Times New Roman"/>
          <w:color w:val="auto"/>
        </w:rPr>
        <w:t>(</w:t>
      </w:r>
      <w:r w:rsidR="00092FD4" w:rsidRPr="00AC1198">
        <w:rPr>
          <w:rFonts w:eastAsia="Calibri" w:cs="Times New Roman"/>
          <w:color w:val="auto"/>
        </w:rPr>
        <w:t>1) Except as otherwise provided in this section, in a sale or exchange of real property and associated tangible personal property owned by a nonresident or nonresident entity occurring on during taxable years beginning on or after January 1, 2008, the real estate reporting person, as defined under Section 6045 of the Internal Revenue Code, shall withhold an amount equal to two and one-half percent of the total payment to a nonresident or nonresident entity. In lieu thereof, the real estate reporting person may withhold an amount equal to six and one-half percent of the estimated capital gain derived from the sale or exchange. The amounts withheld shall be paid to the Tax Commissioner by the real estate reporting person within thirty days of the date the amounts were withheld.</w:t>
      </w:r>
    </w:p>
    <w:p w14:paraId="68BB50FC" w14:textId="2B3EA9F7"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2) The Tax Commissioner may propose alternatives to the percentages of payments or capital gains set forth in this section that may, based upon experience and application of this section, more accurately represent the value of capital gains subject to taxation in this state and, upon enactment of any such rules, those alternatives to the percentages shall supersede the percentages set forth in this subsection.</w:t>
      </w:r>
    </w:p>
    <w:p w14:paraId="751EBD45" w14:textId="6ACFE535"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d) Subsection </w:t>
      </w:r>
      <w:r w:rsidR="00D30486" w:rsidRPr="00AC1198">
        <w:rPr>
          <w:rFonts w:eastAsia="Calibri" w:cs="Times New Roman"/>
          <w:color w:val="auto"/>
        </w:rPr>
        <w:t>(</w:t>
      </w:r>
      <w:r w:rsidR="00092FD4" w:rsidRPr="00AC1198">
        <w:rPr>
          <w:rFonts w:eastAsia="Calibri" w:cs="Times New Roman"/>
          <w:color w:val="auto"/>
        </w:rPr>
        <w:t>c) of this section does not apply when:</w:t>
      </w:r>
    </w:p>
    <w:p w14:paraId="374FE538" w14:textId="43D0FBE0"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1) A certification under penalties of perjury that the transferor is a resident of the state or is a resident entity is provided by each transferor in:</w:t>
      </w:r>
    </w:p>
    <w:p w14:paraId="0F197794" w14:textId="7DA035E0"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A) The recitals or the acknowledgment of the deed or other instrument of writing transferring the property to the transferee; or</w:t>
      </w:r>
    </w:p>
    <w:p w14:paraId="5F0D2143" w14:textId="20581E6C"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B) An affidavit signed by the transferor or by an agent of the transferor that accompanies and is recorded with the deed or other instrument of writing transferring the property;</w:t>
      </w:r>
    </w:p>
    <w:p w14:paraId="15C1DF89" w14:textId="70EC81DC"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2) The transferor presents to the real estate reporting person, as defined under Section 6045 of the Internal Revenue Code, a certificate issued by the Tax Commissioner stating that:</w:t>
      </w:r>
    </w:p>
    <w:p w14:paraId="49A9363A" w14:textId="13EC7B45"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A) No tax is due from that transferor in connection with that sale or exchange of property;</w:t>
      </w:r>
    </w:p>
    <w:p w14:paraId="7B923665" w14:textId="507ECA43"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B) A reduced amount of tax is due from that transferor in connection with that sale or </w:t>
      </w:r>
      <w:r w:rsidR="00092FD4" w:rsidRPr="00AC1198">
        <w:rPr>
          <w:rFonts w:eastAsia="Calibri" w:cs="Times New Roman"/>
          <w:color w:val="auto"/>
        </w:rPr>
        <w:lastRenderedPageBreak/>
        <w:t>exchange of property and stating the reduced amount that should be collected by the real estate reporting person, as defined under Section 6045 of the Internal Revenue Code, before recordation or filing; or</w:t>
      </w:r>
    </w:p>
    <w:p w14:paraId="333DAD0A" w14:textId="6C94167C"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C) The transferor has provided adequate security to cover the amount required to be withheld under subsection </w:t>
      </w:r>
      <w:r w:rsidR="00D30486" w:rsidRPr="00AC1198">
        <w:rPr>
          <w:rFonts w:eastAsia="Calibri" w:cs="Times New Roman"/>
          <w:color w:val="auto"/>
        </w:rPr>
        <w:t>(</w:t>
      </w:r>
      <w:r w:rsidR="00092FD4" w:rsidRPr="00AC1198">
        <w:rPr>
          <w:rFonts w:eastAsia="Calibri" w:cs="Times New Roman"/>
          <w:color w:val="auto"/>
        </w:rPr>
        <w:t>c) of this section;</w:t>
      </w:r>
    </w:p>
    <w:p w14:paraId="60242548" w14:textId="6CEB4464"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3) The property transfer is:</w:t>
      </w:r>
    </w:p>
    <w:p w14:paraId="65B73463" w14:textId="7F6FFDB5"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A) A transfer pursuant to a foreclosure of a mortgage, deed of trust, or other lien instrument; or</w:t>
      </w:r>
    </w:p>
    <w:p w14:paraId="4061B61F" w14:textId="3034E057"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B) A transfer pursuant to a deed in lieu of foreclosure;</w:t>
      </w:r>
    </w:p>
    <w:p w14:paraId="7F949C46" w14:textId="5B15390F"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4) The property is transferred by the United States, the state, or a unit or political subdivision of the state;</w:t>
      </w:r>
    </w:p>
    <w:p w14:paraId="033C218B" w14:textId="736FFDCB"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5) A certification under penalties of perjury that the property being transferred is the transferor</w:t>
      </w:r>
      <w:r w:rsidR="00092FD4" w:rsidRPr="00AC1198">
        <w:rPr>
          <w:rFonts w:eastAsia="Calibri" w:cs="Times New Roman"/>
          <w:color w:val="auto"/>
        </w:rPr>
        <w:sym w:font="Arial" w:char="0027"/>
      </w:r>
      <w:r w:rsidR="00092FD4" w:rsidRPr="00AC1198">
        <w:rPr>
          <w:rFonts w:eastAsia="Calibri" w:cs="Times New Roman"/>
          <w:color w:val="auto"/>
        </w:rPr>
        <w:t>s principal residence is provided by each transferor in:</w:t>
      </w:r>
    </w:p>
    <w:p w14:paraId="34DF8B91" w14:textId="2CC327AE"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A) The recitals or the acknowledgment of the deed or other instrument of writing transferring the property to the transferee; or</w:t>
      </w:r>
    </w:p>
    <w:p w14:paraId="7EFA0ABF" w14:textId="088A1915"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B) An affidavit signed by the transferor or by an agent of the transferor that accompanies and is recorded with the deed or other instrument of writing transferring the property; or</w:t>
      </w:r>
    </w:p>
    <w:p w14:paraId="597B46C2" w14:textId="19CB4B0B"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6) The property is transferred pursuant to a deed or other instrument of writing that includes a statement of consideration required in section six, article twenty-two of this code indicating that the consideration payable is zero.</w:t>
      </w:r>
    </w:p>
    <w:p w14:paraId="6956669A" w14:textId="5E144F62"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e) Except as provided in this section, the amounts described in subsection </w:t>
      </w:r>
      <w:r w:rsidRPr="00AC1198">
        <w:rPr>
          <w:rFonts w:eastAsia="Calibri" w:cs="Times New Roman"/>
          <w:color w:val="auto"/>
        </w:rPr>
        <w:t>(</w:t>
      </w:r>
      <w:r w:rsidR="00092FD4" w:rsidRPr="00AC1198">
        <w:rPr>
          <w:rFonts w:eastAsia="Calibri" w:cs="Times New Roman"/>
          <w:color w:val="auto"/>
        </w:rPr>
        <w:t>c) of this section shall be collected by the real estate reporting person before the deed or other instrument of writing is presented for recordation or filing.</w:t>
      </w:r>
    </w:p>
    <w:p w14:paraId="32AB11E4" w14:textId="61B60297"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f) </w:t>
      </w:r>
      <w:r w:rsidRPr="00AC1198">
        <w:rPr>
          <w:rFonts w:eastAsia="Calibri" w:cs="Times New Roman"/>
          <w:color w:val="auto"/>
        </w:rPr>
        <w:t>(</w:t>
      </w:r>
      <w:r w:rsidR="00092FD4" w:rsidRPr="00AC1198">
        <w:rPr>
          <w:rFonts w:eastAsia="Calibri" w:cs="Times New Roman"/>
          <w:color w:val="auto"/>
        </w:rPr>
        <w:t xml:space="preserve">1) Amounts collected under subsection </w:t>
      </w:r>
      <w:r w:rsidRPr="00AC1198">
        <w:rPr>
          <w:rFonts w:eastAsia="Calibri" w:cs="Times New Roman"/>
          <w:color w:val="auto"/>
        </w:rPr>
        <w:t>(</w:t>
      </w:r>
      <w:r w:rsidR="00092FD4" w:rsidRPr="00AC1198">
        <w:rPr>
          <w:rFonts w:eastAsia="Calibri" w:cs="Times New Roman"/>
          <w:color w:val="auto"/>
        </w:rPr>
        <w:t xml:space="preserve">c) of this section and paid over to the Tax Commissioner under subsection </w:t>
      </w:r>
      <w:r w:rsidRPr="00AC1198">
        <w:rPr>
          <w:rFonts w:eastAsia="Calibri" w:cs="Times New Roman"/>
          <w:color w:val="auto"/>
        </w:rPr>
        <w:t>(</w:t>
      </w:r>
      <w:r w:rsidR="00092FD4" w:rsidRPr="00AC1198">
        <w:rPr>
          <w:rFonts w:eastAsia="Calibri" w:cs="Times New Roman"/>
          <w:color w:val="auto"/>
        </w:rPr>
        <w:t>e) of this section shall be deemed to have been paid to the Tax Commissioner on behalf of the transferor from whom the amounts were withheld.</w:t>
      </w:r>
    </w:p>
    <w:p w14:paraId="67DA198A" w14:textId="7C8A1DDF"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lastRenderedPageBreak/>
        <w:t>(</w:t>
      </w:r>
      <w:r w:rsidR="00092FD4" w:rsidRPr="00AC1198">
        <w:rPr>
          <w:rFonts w:eastAsia="Calibri" w:cs="Times New Roman"/>
          <w:color w:val="auto"/>
        </w:rPr>
        <w:t xml:space="preserve">2) The transferor shall be credited with having paid the amounts for the taxable year in which the transaction that is the subject of the tax occurred against any tax owed by the transferor to the State of West Virginia on gains resulting from the transaction and is entitled to a refund from the Tax Commissioner of any amount in excess of the amount owed, except as provided in subsection </w:t>
      </w:r>
      <w:r w:rsidR="00590DC9" w:rsidRPr="00AC1198">
        <w:rPr>
          <w:rFonts w:eastAsia="Calibri" w:cs="Times New Roman"/>
          <w:color w:val="auto"/>
        </w:rPr>
        <w:t>“</w:t>
      </w:r>
      <w:r w:rsidR="00092FD4" w:rsidRPr="00AC1198">
        <w:rPr>
          <w:rFonts w:eastAsia="Calibri" w:cs="Times New Roman"/>
          <w:color w:val="auto"/>
        </w:rPr>
        <w:t>i) of this section.</w:t>
      </w:r>
    </w:p>
    <w:p w14:paraId="3512A870" w14:textId="37A5F1AB"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g) The real estate reporting person is subject to the requirements and penalties prescribed for the failure to pay the amount of a tax prescribed by article ten of this chapter for the failure to pay to the Tax Commissioner amounts withheld pursuant to provisions of this section.</w:t>
      </w:r>
    </w:p>
    <w:p w14:paraId="27D49A58" w14:textId="76EBB77B"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h) This section does not:</w:t>
      </w:r>
    </w:p>
    <w:p w14:paraId="2231EAA7" w14:textId="27460917"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1) Impose any tax on a transferor or affect any liability of the transferor for any tax; or</w:t>
      </w:r>
    </w:p>
    <w:p w14:paraId="7003C37C" w14:textId="103B2D42"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2) Prohibit the Tax Commissioner from collecting any taxes due from a transferor in any other manner authorized by law.</w:t>
      </w:r>
    </w:p>
    <w:p w14:paraId="5B6F5C70" w14:textId="753790AB" w:rsidR="00092FD4" w:rsidRPr="00AC1198" w:rsidRDefault="00646342" w:rsidP="00092FD4">
      <w:pPr>
        <w:widowControl w:val="0"/>
        <w:ind w:firstLine="720"/>
        <w:jc w:val="both"/>
        <w:rPr>
          <w:rFonts w:eastAsia="Calibri" w:cs="Times New Roman"/>
          <w:color w:val="auto"/>
        </w:rPr>
      </w:pPr>
      <w:r w:rsidRPr="00AC1198">
        <w:rPr>
          <w:rFonts w:eastAsia="Calibri" w:cs="Times New Roman"/>
          <w:color w:val="auto"/>
        </w:rPr>
        <w:t>(</w:t>
      </w:r>
      <w:r w:rsidR="00092FD4" w:rsidRPr="00AC1198">
        <w:rPr>
          <w:rFonts w:eastAsia="Calibri" w:cs="Times New Roman"/>
          <w:color w:val="auto"/>
        </w:rPr>
        <w:t xml:space="preserve">i) </w:t>
      </w:r>
      <w:r w:rsidRPr="00AC1198">
        <w:rPr>
          <w:rFonts w:eastAsia="Calibri" w:cs="Times New Roman"/>
          <w:color w:val="auto"/>
        </w:rPr>
        <w:t>(</w:t>
      </w:r>
      <w:r w:rsidR="00092FD4" w:rsidRPr="00AC1198">
        <w:rPr>
          <w:rFonts w:eastAsia="Calibri" w:cs="Times New Roman"/>
          <w:color w:val="auto"/>
        </w:rPr>
        <w:t>1) The Tax Commissioner shall propose legislative rules for promulgation in accordance with the provisions of article three, chapter twenty-nine-a of this code to implement and administer this section.</w:t>
      </w:r>
    </w:p>
    <w:p w14:paraId="5A3A2035" w14:textId="3BD21A26" w:rsidR="00092FD4" w:rsidRPr="00AC1198" w:rsidRDefault="00646342" w:rsidP="00092FD4">
      <w:pPr>
        <w:pStyle w:val="SectionBody"/>
        <w:rPr>
          <w:color w:val="auto"/>
        </w:rPr>
      </w:pPr>
      <w:r w:rsidRPr="00AC1198">
        <w:rPr>
          <w:color w:val="auto"/>
        </w:rPr>
        <w:t>(</w:t>
      </w:r>
      <w:r w:rsidR="00092FD4" w:rsidRPr="00AC1198">
        <w:rPr>
          <w:color w:val="auto"/>
        </w:rPr>
        <w:t xml:space="preserve">2) The Tax Commissioner shall establish procedures for the issuance of the certificate referred to in subdivision </w:t>
      </w:r>
      <w:r w:rsidRPr="00AC1198">
        <w:rPr>
          <w:color w:val="auto"/>
        </w:rPr>
        <w:t>(</w:t>
      </w:r>
      <w:r w:rsidR="00092FD4" w:rsidRPr="00AC1198">
        <w:rPr>
          <w:color w:val="auto"/>
        </w:rPr>
        <w:t xml:space="preserve">2), subsection </w:t>
      </w:r>
      <w:r w:rsidRPr="00AC1198">
        <w:rPr>
          <w:color w:val="auto"/>
        </w:rPr>
        <w:t>(</w:t>
      </w:r>
      <w:r w:rsidR="00092FD4" w:rsidRPr="00AC1198">
        <w:rPr>
          <w:color w:val="auto"/>
        </w:rPr>
        <w:t>d) of this section.</w:t>
      </w:r>
    </w:p>
    <w:p w14:paraId="02F28433" w14:textId="670CD07A" w:rsidR="00092FD4" w:rsidRPr="00AC1198" w:rsidRDefault="00646342" w:rsidP="00092FD4">
      <w:pPr>
        <w:pStyle w:val="SectionBody"/>
        <w:rPr>
          <w:color w:val="auto"/>
          <w:u w:val="single"/>
        </w:rPr>
      </w:pPr>
      <w:r w:rsidRPr="00AC1198">
        <w:rPr>
          <w:color w:val="auto"/>
        </w:rPr>
        <w:t>(</w:t>
      </w:r>
      <w:r w:rsidR="00092FD4" w:rsidRPr="00AC1198">
        <w:rPr>
          <w:color w:val="auto"/>
        </w:rPr>
        <w:t xml:space="preserve">3) The Tax Commissioner shall establish a procedure by which a transferor may apply for an early refund of the tax collected under this section if the transferor establishes that no tax will be owed or less tax than collected will be owed. </w:t>
      </w:r>
      <w:r w:rsidR="00092FD4" w:rsidRPr="00AC1198">
        <w:rPr>
          <w:rStyle w:val="SectionBodyChar"/>
          <w:color w:val="auto"/>
          <w:u w:val="single"/>
        </w:rPr>
        <w:t xml:space="preserve">The Tax Commissioner shall accept and process applications for an early refund beginning no later than 30 days after the real estate reporting person has paid the withholding to the Tax Commissioner, and the acceptance and processing of early refund applications shall in all cases continue until July 15th of the year following the year in which the transaction occurred for which the tax was withheld and remitted to the Tax Commissioner under this section by the real estate reporting person, as defined under </w:t>
      </w:r>
      <w:hyperlink r:id="rId17" w:history="1">
        <w:r w:rsidR="00092FD4" w:rsidRPr="00AC1198">
          <w:rPr>
            <w:rStyle w:val="SectionBodyChar"/>
            <w:color w:val="auto"/>
            <w:u w:val="single"/>
          </w:rPr>
          <w:t>Section 6045 of the Internal Revenue Code</w:t>
        </w:r>
      </w:hyperlink>
      <w:r w:rsidR="00092FD4" w:rsidRPr="00AC1198">
        <w:rPr>
          <w:rStyle w:val="SectionBodyChar"/>
          <w:color w:val="auto"/>
          <w:u w:val="single"/>
        </w:rPr>
        <w:t>.</w:t>
      </w:r>
    </w:p>
    <w:p w14:paraId="65BFB740" w14:textId="7BC9F09F" w:rsidR="00092FD4" w:rsidRPr="00AC1198" w:rsidRDefault="00FA73E2" w:rsidP="00092FD4">
      <w:pPr>
        <w:widowControl w:val="0"/>
        <w:ind w:firstLine="720"/>
        <w:jc w:val="both"/>
        <w:rPr>
          <w:rFonts w:eastAsia="Calibri" w:cs="Times New Roman"/>
          <w:color w:val="auto"/>
        </w:rPr>
      </w:pPr>
      <w:r w:rsidRPr="00AC1198">
        <w:rPr>
          <w:rFonts w:eastAsia="Calibri" w:cs="Times New Roman"/>
          <w:color w:val="auto"/>
        </w:rPr>
        <w:lastRenderedPageBreak/>
        <w:t>(</w:t>
      </w:r>
      <w:r w:rsidR="00092FD4" w:rsidRPr="00AC1198">
        <w:rPr>
          <w:rFonts w:eastAsia="Calibri" w:cs="Times New Roman"/>
          <w:color w:val="auto"/>
        </w:rPr>
        <w:t xml:space="preserve">4) If the amount withheld and paid to the Tax Commissioner under this section equals or exceeds the amount of tax owed by the transferor, the transferor may, at his or her discretion, not file the return required by this article: </w:t>
      </w:r>
      <w:r w:rsidR="00092FD4" w:rsidRPr="00AC1198">
        <w:rPr>
          <w:rFonts w:eastAsia="Calibri" w:cs="Times New Roman"/>
          <w:i/>
          <w:iCs/>
          <w:color w:val="auto"/>
        </w:rPr>
        <w:t>Provided,</w:t>
      </w:r>
      <w:r w:rsidR="00092FD4" w:rsidRPr="00AC1198">
        <w:rPr>
          <w:rFonts w:eastAsia="Calibri" w:cs="Times New Roman"/>
          <w:color w:val="auto"/>
        </w:rPr>
        <w:t xml:space="preserve"> That failure to file a return </w:t>
      </w:r>
      <w:r w:rsidR="00092FD4" w:rsidRPr="00AC1198">
        <w:rPr>
          <w:rStyle w:val="SectionBodyChar"/>
          <w:color w:val="auto"/>
          <w:u w:val="single"/>
        </w:rPr>
        <w:t xml:space="preserve">or an application for an early refund as provided in subsection </w:t>
      </w:r>
      <w:r w:rsidRPr="00AC1198">
        <w:rPr>
          <w:rStyle w:val="SectionBodyChar"/>
          <w:color w:val="auto"/>
          <w:u w:val="single"/>
        </w:rPr>
        <w:t>(</w:t>
      </w:r>
      <w:r w:rsidR="00092FD4" w:rsidRPr="00AC1198">
        <w:rPr>
          <w:rStyle w:val="SectionBodyChar"/>
          <w:color w:val="auto"/>
          <w:u w:val="single"/>
        </w:rPr>
        <w:t>i)</w:t>
      </w:r>
      <w:r w:rsidRPr="00AC1198">
        <w:rPr>
          <w:rStyle w:val="SectionBodyChar"/>
          <w:color w:val="auto"/>
          <w:u w:val="single"/>
        </w:rPr>
        <w:t xml:space="preserve"> (</w:t>
      </w:r>
      <w:r w:rsidR="00092FD4" w:rsidRPr="00AC1198">
        <w:rPr>
          <w:rStyle w:val="SectionBodyChar"/>
          <w:color w:val="auto"/>
          <w:u w:val="single"/>
        </w:rPr>
        <w:t>3) of this section</w:t>
      </w:r>
      <w:r w:rsidR="00092FD4" w:rsidRPr="00AC1198">
        <w:rPr>
          <w:rFonts w:eastAsia="Calibri" w:cs="Times New Roman"/>
          <w:color w:val="auto"/>
        </w:rPr>
        <w:t xml:space="preserve"> is deemed to be a final decision to not claim a refund for an overpayment of the tax imposed by this article, and no claim for refund shall be granted and no refund paid with relation to tax withheld pursuant to this section for which no return was filed by the taxpayer.</w:t>
      </w:r>
    </w:p>
    <w:p w14:paraId="47593C46" w14:textId="65786BD1" w:rsidR="00A37C91" w:rsidRPr="00AC1198" w:rsidRDefault="00FA73E2" w:rsidP="008A02A4">
      <w:pPr>
        <w:pStyle w:val="SectionBody"/>
        <w:rPr>
          <w:color w:val="auto"/>
        </w:rPr>
      </w:pPr>
      <w:r w:rsidRPr="00AC1198">
        <w:rPr>
          <w:color w:val="auto"/>
          <w:u w:val="single"/>
        </w:rPr>
        <w:t>(</w:t>
      </w:r>
      <w:r w:rsidR="00092FD4" w:rsidRPr="00AC1198">
        <w:rPr>
          <w:color w:val="auto"/>
          <w:u w:val="single"/>
        </w:rPr>
        <w:t xml:space="preserve">j) The amendments made to this section made during the regular session of the </w:t>
      </w:r>
      <w:r w:rsidRPr="00AC1198">
        <w:rPr>
          <w:color w:val="auto"/>
          <w:u w:val="single"/>
        </w:rPr>
        <w:t>L</w:t>
      </w:r>
      <w:r w:rsidR="00092FD4" w:rsidRPr="00AC1198">
        <w:rPr>
          <w:color w:val="auto"/>
          <w:u w:val="single"/>
        </w:rPr>
        <w:t xml:space="preserve">egislature in the year 2022 shall apply retrospectively, but only to transfers of real estate occurring on or after January 1, 2021. </w:t>
      </w:r>
    </w:p>
    <w:p w14:paraId="119EB959" w14:textId="77777777" w:rsidR="00A37C91" w:rsidRPr="00AC1198" w:rsidRDefault="00A37C91" w:rsidP="00092FD4">
      <w:pPr>
        <w:pStyle w:val="Note"/>
        <w:rPr>
          <w:color w:val="auto"/>
        </w:rPr>
      </w:pPr>
    </w:p>
    <w:p w14:paraId="4B1A2F90" w14:textId="0BD8A0AF" w:rsidR="00807B4D" w:rsidRPr="00AC1198" w:rsidRDefault="00807B4D" w:rsidP="00092FD4">
      <w:pPr>
        <w:pStyle w:val="Note"/>
        <w:rPr>
          <w:color w:val="auto"/>
        </w:rPr>
      </w:pPr>
      <w:r w:rsidRPr="00AC1198">
        <w:rPr>
          <w:color w:val="auto"/>
        </w:rPr>
        <w:t xml:space="preserve">NOTE: The purpose of this bill is to </w:t>
      </w:r>
      <w:r w:rsidR="00092FD4" w:rsidRPr="00AC1198">
        <w:rPr>
          <w:color w:val="auto"/>
        </w:rPr>
        <w:t>allow the Tax Commissioner to process certain tax refunds early</w:t>
      </w:r>
      <w:r w:rsidR="009B6AE1" w:rsidRPr="00AC1198">
        <w:rPr>
          <w:color w:val="auto"/>
        </w:rPr>
        <w:t>.</w:t>
      </w:r>
    </w:p>
    <w:p w14:paraId="469F83C6" w14:textId="77777777" w:rsidR="00807B4D" w:rsidRPr="00AC1198" w:rsidRDefault="00807B4D" w:rsidP="00807B4D">
      <w:pPr>
        <w:pStyle w:val="Note"/>
        <w:rPr>
          <w:color w:val="auto"/>
        </w:rPr>
      </w:pPr>
      <w:r w:rsidRPr="00AC1198">
        <w:rPr>
          <w:color w:val="auto"/>
        </w:rPr>
        <w:t>Strike-throughs indicate language that would be stricken from a heading or the present law and underscoring indicates new language that would be added.</w:t>
      </w:r>
    </w:p>
    <w:sectPr w:rsidR="00807B4D" w:rsidRPr="00AC1198" w:rsidSect="008A02A4">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F959" w14:textId="77777777" w:rsidR="005018EC" w:rsidRPr="00B844FE" w:rsidRDefault="005018EC" w:rsidP="00B844FE">
      <w:r>
        <w:separator/>
      </w:r>
    </w:p>
  </w:endnote>
  <w:endnote w:type="continuationSeparator" w:id="0">
    <w:p w14:paraId="6EC163F7" w14:textId="77777777" w:rsidR="005018EC" w:rsidRPr="00B844FE" w:rsidRDefault="005018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5AD4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A09D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C373A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3B9B" w14:textId="77777777" w:rsidR="00370A06" w:rsidRDefault="00B168E7" w:rsidP="00370A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62AA56" w14:textId="77777777" w:rsidR="00370A06" w:rsidRDefault="003F2C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C3E2" w14:textId="77777777" w:rsidR="005018EC" w:rsidRPr="00B844FE" w:rsidRDefault="005018EC" w:rsidP="00B844FE">
      <w:r>
        <w:separator/>
      </w:r>
    </w:p>
  </w:footnote>
  <w:footnote w:type="continuationSeparator" w:id="0">
    <w:p w14:paraId="40EFAFB3" w14:textId="77777777" w:rsidR="005018EC" w:rsidRPr="00B844FE" w:rsidRDefault="005018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1710" w14:textId="40A89923" w:rsidR="002A0269" w:rsidRPr="00B844FE" w:rsidRDefault="003F2C00">
    <w:pPr>
      <w:pStyle w:val="Header"/>
    </w:pPr>
    <w:sdt>
      <w:sdtPr>
        <w:id w:val="-684364211"/>
        <w:placeholder>
          <w:docPart w:val="543F7F9FAEAE4ECD8FBE26096A4517D4"/>
        </w:placeholder>
        <w:temporary/>
        <w:showingPlcHdr/>
        <w15:appearance w15:val="hidden"/>
      </w:sdtPr>
      <w:sdtEndPr/>
      <w:sdtContent>
        <w:r w:rsidR="00727D3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27D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5984" w14:textId="7E9FC515" w:rsidR="001D6D49" w:rsidRDefault="00F61EE5">
    <w:pPr>
      <w:pStyle w:val="Header"/>
    </w:pPr>
    <w:r>
      <w:t>Intr</w:t>
    </w:r>
    <w:r w:rsidR="00CD1922">
      <w:t xml:space="preserve"> </w:t>
    </w:r>
    <w:r w:rsidR="00092FD4">
      <w:t>SB</w:t>
    </w:r>
    <w:r w:rsidR="00CD1922">
      <w:t xml:space="preserve"> 28</w:t>
    </w:r>
    <w:r>
      <w:tab/>
    </w:r>
    <w:r>
      <w:tab/>
    </w:r>
    <w:r w:rsidR="00716613">
      <w:t>2022R</w:t>
    </w:r>
    <w:r>
      <w:t>10</w:t>
    </w:r>
    <w:r w:rsidR="00092FD4">
      <w:t>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C3B9" w14:textId="2B9F07D8" w:rsidR="00716613" w:rsidRDefault="00716613" w:rsidP="007166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A50"/>
    <w:multiLevelType w:val="multilevel"/>
    <w:tmpl w:val="5418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2FD4"/>
    <w:rsid w:val="000C5C77"/>
    <w:rsid w:val="000E3912"/>
    <w:rsid w:val="0010070F"/>
    <w:rsid w:val="001102E7"/>
    <w:rsid w:val="0015112E"/>
    <w:rsid w:val="001552E7"/>
    <w:rsid w:val="001566B4"/>
    <w:rsid w:val="001A66B7"/>
    <w:rsid w:val="001B6EFE"/>
    <w:rsid w:val="001C279E"/>
    <w:rsid w:val="001D459E"/>
    <w:rsid w:val="001D6D49"/>
    <w:rsid w:val="0020468C"/>
    <w:rsid w:val="0022051D"/>
    <w:rsid w:val="00225551"/>
    <w:rsid w:val="0027011C"/>
    <w:rsid w:val="00274200"/>
    <w:rsid w:val="00275740"/>
    <w:rsid w:val="002A0269"/>
    <w:rsid w:val="00303684"/>
    <w:rsid w:val="003143F5"/>
    <w:rsid w:val="00314854"/>
    <w:rsid w:val="00337DFD"/>
    <w:rsid w:val="00364D95"/>
    <w:rsid w:val="00394191"/>
    <w:rsid w:val="00397FA8"/>
    <w:rsid w:val="003A5FD2"/>
    <w:rsid w:val="003C0B0C"/>
    <w:rsid w:val="003C51CD"/>
    <w:rsid w:val="003D2A89"/>
    <w:rsid w:val="003F2C00"/>
    <w:rsid w:val="004368E0"/>
    <w:rsid w:val="00440772"/>
    <w:rsid w:val="00445179"/>
    <w:rsid w:val="004C13DD"/>
    <w:rsid w:val="004D0EDB"/>
    <w:rsid w:val="004E3441"/>
    <w:rsid w:val="00500579"/>
    <w:rsid w:val="005018EC"/>
    <w:rsid w:val="00515DFC"/>
    <w:rsid w:val="005227D4"/>
    <w:rsid w:val="00590DC9"/>
    <w:rsid w:val="00596954"/>
    <w:rsid w:val="005A3DAE"/>
    <w:rsid w:val="005A5366"/>
    <w:rsid w:val="005D35EC"/>
    <w:rsid w:val="005D5B7A"/>
    <w:rsid w:val="00603227"/>
    <w:rsid w:val="006369EB"/>
    <w:rsid w:val="00637E73"/>
    <w:rsid w:val="00646342"/>
    <w:rsid w:val="00650DF8"/>
    <w:rsid w:val="00682C4B"/>
    <w:rsid w:val="006865E9"/>
    <w:rsid w:val="006879F9"/>
    <w:rsid w:val="00691F3E"/>
    <w:rsid w:val="00694BFB"/>
    <w:rsid w:val="006A106B"/>
    <w:rsid w:val="006C523D"/>
    <w:rsid w:val="006D4036"/>
    <w:rsid w:val="00716613"/>
    <w:rsid w:val="00727D31"/>
    <w:rsid w:val="00741F1A"/>
    <w:rsid w:val="00743CC3"/>
    <w:rsid w:val="0076609E"/>
    <w:rsid w:val="007674BC"/>
    <w:rsid w:val="007A5259"/>
    <w:rsid w:val="007A7081"/>
    <w:rsid w:val="007F1CF5"/>
    <w:rsid w:val="007F2CD0"/>
    <w:rsid w:val="00807B4D"/>
    <w:rsid w:val="00814711"/>
    <w:rsid w:val="00824ABD"/>
    <w:rsid w:val="00834EDE"/>
    <w:rsid w:val="00863870"/>
    <w:rsid w:val="008736AA"/>
    <w:rsid w:val="00892E34"/>
    <w:rsid w:val="008A02A4"/>
    <w:rsid w:val="008A1981"/>
    <w:rsid w:val="008B3B4D"/>
    <w:rsid w:val="008B62EE"/>
    <w:rsid w:val="008D275D"/>
    <w:rsid w:val="00936AA5"/>
    <w:rsid w:val="00980327"/>
    <w:rsid w:val="00986478"/>
    <w:rsid w:val="00994AC1"/>
    <w:rsid w:val="009B5557"/>
    <w:rsid w:val="009B6AE1"/>
    <w:rsid w:val="009F1067"/>
    <w:rsid w:val="00A31E01"/>
    <w:rsid w:val="00A37C91"/>
    <w:rsid w:val="00A527AD"/>
    <w:rsid w:val="00A718CF"/>
    <w:rsid w:val="00A76151"/>
    <w:rsid w:val="00AC1198"/>
    <w:rsid w:val="00AE48A0"/>
    <w:rsid w:val="00AE61BE"/>
    <w:rsid w:val="00B168E7"/>
    <w:rsid w:val="00B16F25"/>
    <w:rsid w:val="00B24422"/>
    <w:rsid w:val="00B66B81"/>
    <w:rsid w:val="00B80C20"/>
    <w:rsid w:val="00B844F2"/>
    <w:rsid w:val="00B844FE"/>
    <w:rsid w:val="00B86B4F"/>
    <w:rsid w:val="00BA1F84"/>
    <w:rsid w:val="00BC562B"/>
    <w:rsid w:val="00BD608E"/>
    <w:rsid w:val="00BF5F98"/>
    <w:rsid w:val="00BF6FA4"/>
    <w:rsid w:val="00C064EE"/>
    <w:rsid w:val="00C33014"/>
    <w:rsid w:val="00C33434"/>
    <w:rsid w:val="00C34869"/>
    <w:rsid w:val="00C40B01"/>
    <w:rsid w:val="00C42EB6"/>
    <w:rsid w:val="00C85096"/>
    <w:rsid w:val="00CA3DE9"/>
    <w:rsid w:val="00CB1ADC"/>
    <w:rsid w:val="00CB20EF"/>
    <w:rsid w:val="00CB3EB4"/>
    <w:rsid w:val="00CB5790"/>
    <w:rsid w:val="00CC1F3B"/>
    <w:rsid w:val="00CD12CB"/>
    <w:rsid w:val="00CD1922"/>
    <w:rsid w:val="00CD36CF"/>
    <w:rsid w:val="00CF17FC"/>
    <w:rsid w:val="00CF1DCA"/>
    <w:rsid w:val="00D30486"/>
    <w:rsid w:val="00D53F84"/>
    <w:rsid w:val="00D579FC"/>
    <w:rsid w:val="00D619F5"/>
    <w:rsid w:val="00D81C16"/>
    <w:rsid w:val="00DD4DA6"/>
    <w:rsid w:val="00DD64E4"/>
    <w:rsid w:val="00DE526B"/>
    <w:rsid w:val="00DF199D"/>
    <w:rsid w:val="00E01542"/>
    <w:rsid w:val="00E365F1"/>
    <w:rsid w:val="00E460E6"/>
    <w:rsid w:val="00E56659"/>
    <w:rsid w:val="00E62F48"/>
    <w:rsid w:val="00E831B3"/>
    <w:rsid w:val="00E949CA"/>
    <w:rsid w:val="00E95FBC"/>
    <w:rsid w:val="00EE70CB"/>
    <w:rsid w:val="00F41CA2"/>
    <w:rsid w:val="00F443C0"/>
    <w:rsid w:val="00F61EE5"/>
    <w:rsid w:val="00F62EFB"/>
    <w:rsid w:val="00F939A4"/>
    <w:rsid w:val="00FA73E2"/>
    <w:rsid w:val="00FA7B09"/>
    <w:rsid w:val="00FB36C9"/>
    <w:rsid w:val="00FD5B51"/>
    <w:rsid w:val="00FE067E"/>
    <w:rsid w:val="00FE208F"/>
    <w:rsid w:val="00FE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1B7FC"/>
  <w15:chartTrackingRefBased/>
  <w15:docId w15:val="{CACC3EBB-A763-4204-A102-00C8E68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next w:val="Normal"/>
    <w:link w:val="Heading3Char"/>
    <w:uiPriority w:val="9"/>
    <w:unhideWhenUsed/>
    <w:qFormat/>
    <w:locked/>
    <w:rsid w:val="005D35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49C0"/>
    <w:rPr>
      <w:rFonts w:eastAsia="Calibri"/>
      <w:b/>
      <w:caps/>
      <w:color w:val="000000"/>
      <w:sz w:val="24"/>
    </w:rPr>
  </w:style>
  <w:style w:type="paragraph" w:styleId="BalloonText">
    <w:name w:val="Balloon Text"/>
    <w:basedOn w:val="Normal"/>
    <w:link w:val="BalloonTextChar"/>
    <w:uiPriority w:val="99"/>
    <w:semiHidden/>
    <w:unhideWhenUsed/>
    <w:locked/>
    <w:rsid w:val="00650D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DF8"/>
    <w:rPr>
      <w:rFonts w:ascii="Segoe UI" w:hAnsi="Segoe UI" w:cs="Segoe UI"/>
      <w:sz w:val="18"/>
      <w:szCs w:val="18"/>
    </w:rPr>
  </w:style>
  <w:style w:type="character" w:styleId="PageNumber">
    <w:name w:val="page number"/>
    <w:basedOn w:val="DefaultParagraphFont"/>
    <w:uiPriority w:val="99"/>
    <w:semiHidden/>
    <w:unhideWhenUsed/>
    <w:locked/>
    <w:rsid w:val="00BF5F98"/>
  </w:style>
  <w:style w:type="character" w:customStyle="1" w:styleId="SectionBodyChar">
    <w:name w:val="Section Body Char"/>
    <w:link w:val="SectionBody"/>
    <w:rsid w:val="00863870"/>
    <w:rPr>
      <w:rFonts w:eastAsia="Calibri"/>
      <w:color w:val="000000"/>
    </w:rPr>
  </w:style>
  <w:style w:type="character" w:customStyle="1" w:styleId="SectionHeadingChar">
    <w:name w:val="Section Heading Char"/>
    <w:link w:val="SectionHeading"/>
    <w:rsid w:val="007674BC"/>
    <w:rPr>
      <w:rFonts w:eastAsia="Calibri"/>
      <w:b/>
      <w:color w:val="000000"/>
    </w:rPr>
  </w:style>
  <w:style w:type="character" w:customStyle="1" w:styleId="Heading3Char">
    <w:name w:val="Heading 3 Char"/>
    <w:basedOn w:val="DefaultParagraphFont"/>
    <w:link w:val="Heading3"/>
    <w:uiPriority w:val="9"/>
    <w:rsid w:val="005D35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1.next.westlaw.com/Link/Document/FullText?findType=L&amp;pubNum=1012823&amp;cite=26USCAS6045&amp;originatingDoc=N07AC9540ACC411DB84BDE3AA9683E7FF&amp;refType=LQ&amp;originationContext=document&amp;transitionType=DocumentItem&amp;contextData=(sc.Defaul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E076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E0762" w:rsidRDefault="00A9680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E076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E076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E076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4AF"/>
    <w:rsid w:val="00075561"/>
    <w:rsid w:val="001514EE"/>
    <w:rsid w:val="00240023"/>
    <w:rsid w:val="003A6055"/>
    <w:rsid w:val="007E0762"/>
    <w:rsid w:val="00A9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96803"/>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8750C688270D4E8581C588DC92FDA4" ma:contentTypeVersion="7" ma:contentTypeDescription="Create a new document." ma:contentTypeScope="" ma:versionID="284479778ff2f4347c714221c3697709">
  <xsd:schema xmlns:xsd="http://www.w3.org/2001/XMLSchema" xmlns:xs="http://www.w3.org/2001/XMLSchema" xmlns:p="http://schemas.microsoft.com/office/2006/metadata/properties" xmlns:ns3="5860c653-9543-4bca-9cb9-6d49c2489b18" xmlns:ns4="d068e752-0f81-457c-99e2-fe7cd610957d" targetNamespace="http://schemas.microsoft.com/office/2006/metadata/properties" ma:root="true" ma:fieldsID="7a68118327ba5126f83110e740979292" ns3:_="" ns4:_="">
    <xsd:import namespace="5860c653-9543-4bca-9cb9-6d49c2489b18"/>
    <xsd:import namespace="d068e752-0f81-457c-99e2-fe7cd6109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0c653-9543-4bca-9cb9-6d49c2489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8e752-0f81-457c-99e2-fe7cd610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E32E9-5CB0-4E09-908A-AC98ABDF2B47}">
  <ds:schemaRefs>
    <ds:schemaRef ds:uri="http://schemas.openxmlformats.org/officeDocument/2006/bibliography"/>
  </ds:schemaRefs>
</ds:datastoreItem>
</file>

<file path=customXml/itemProps2.xml><?xml version="1.0" encoding="utf-8"?>
<ds:datastoreItem xmlns:ds="http://schemas.openxmlformats.org/officeDocument/2006/customXml" ds:itemID="{D9E916CB-9461-4206-A9F7-62FB2EA3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0c653-9543-4bca-9cb9-6d49c2489b18"/>
    <ds:schemaRef ds:uri="d068e752-0f81-457c-99e2-fe7cd610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9784B-477D-413B-99F4-56252ADD5F9A}">
  <ds:schemaRefs>
    <ds:schemaRef ds:uri="http://schemas.microsoft.com/sharepoint/v3/contenttype/forms"/>
  </ds:schemaRefs>
</ds:datastoreItem>
</file>

<file path=customXml/itemProps4.xml><?xml version="1.0" encoding="utf-8"?>
<ds:datastoreItem xmlns:ds="http://schemas.openxmlformats.org/officeDocument/2006/customXml" ds:itemID="{E5307FA1-B0FE-4C70-8DF0-49210FB65C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16</cp:revision>
  <dcterms:created xsi:type="dcterms:W3CDTF">2021-07-12T18:53:00Z</dcterms:created>
  <dcterms:modified xsi:type="dcterms:W3CDTF">2022-02-07T20:21:00Z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0x010100F58750C688270D4E8581C588DC92FDA4</vt:lpwstr>
  </property>
</Properties>
</file>